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A5" w:rsidRDefault="00022CA5" w:rsidP="0002465C">
      <w:pPr>
        <w:ind w:left="284"/>
      </w:pPr>
      <w:r>
        <w:rPr>
          <w:noProof/>
          <w:lang w:eastAsia="fr-CA"/>
        </w:rPr>
        <w:drawing>
          <wp:inline distT="0" distB="0" distL="0" distR="0">
            <wp:extent cx="6944007" cy="1275172"/>
            <wp:effectExtent l="19050" t="0" r="9243" b="0"/>
            <wp:docPr id="1" name="Image 1" descr="C:\Users\PORT-Analyse\Desktop\entê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T-Analyse\Desktop\entête.PNG"/>
                    <pic:cNvPicPr>
                      <a:picLocks noChangeAspect="1" noChangeArrowheads="1"/>
                    </pic:cNvPicPr>
                  </pic:nvPicPr>
                  <pic:blipFill>
                    <a:blip r:embed="rId5" cstate="print"/>
                    <a:srcRect/>
                    <a:stretch>
                      <a:fillRect/>
                    </a:stretch>
                  </pic:blipFill>
                  <pic:spPr bwMode="auto">
                    <a:xfrm>
                      <a:off x="0" y="0"/>
                      <a:ext cx="6966294" cy="1279265"/>
                    </a:xfrm>
                    <a:prstGeom prst="rect">
                      <a:avLst/>
                    </a:prstGeom>
                    <a:noFill/>
                    <a:ln w="9525">
                      <a:noFill/>
                      <a:miter lim="800000"/>
                      <a:headEnd/>
                      <a:tailEnd/>
                    </a:ln>
                  </pic:spPr>
                </pic:pic>
              </a:graphicData>
            </a:graphic>
          </wp:inline>
        </w:drawing>
      </w:r>
    </w:p>
    <w:p w:rsidR="00022CA5" w:rsidRDefault="00022CA5" w:rsidP="00022CA5">
      <w:pPr>
        <w:rPr>
          <w:rFonts w:ascii="HelveticaNeue-BoldItalic" w:hAnsi="HelveticaNeue-BoldItalic" w:cs="HelveticaNeue-BoldItalic"/>
          <w:b/>
          <w:bCs/>
          <w:i/>
          <w:iCs/>
        </w:rPr>
      </w:pPr>
      <w:r>
        <w:rPr>
          <w:rFonts w:ascii="HelveticaNeue-BoldItalic" w:hAnsi="HelveticaNeue-BoldItalic" w:cs="HelveticaNeue-BoldItalic"/>
          <w:b/>
          <w:bCs/>
          <w:i/>
          <w:iCs/>
        </w:rPr>
        <w:t>Présenté par :</w:t>
      </w:r>
      <w:r w:rsidR="00700950" w:rsidRPr="00700950">
        <w:rPr>
          <w:rFonts w:ascii="HelveticaNeue-BoldItalic" w:hAnsi="HelveticaNeue-BoldItalic" w:cs="HelveticaNeue-BoldItalic"/>
          <w:b/>
          <w:bCs/>
          <w:i/>
          <w:iCs/>
          <w:noProof/>
          <w:lang w:eastAsia="fr-CA"/>
        </w:rPr>
        <w:t xml:space="preserve"> </w:t>
      </w:r>
    </w:p>
    <w:p w:rsidR="00022CA5" w:rsidRDefault="00022CA5" w:rsidP="00022CA5">
      <w:pPr>
        <w:pBdr>
          <w:bottom w:val="single" w:sz="6" w:space="1" w:color="auto"/>
        </w:pBdr>
        <w:rPr>
          <w:rFonts w:ascii="HelveticaNeue-BoldItalic" w:hAnsi="HelveticaNeue-BoldItalic" w:cs="HelveticaNeue-BoldItalic"/>
          <w:b/>
          <w:bCs/>
          <w:i/>
          <w:iCs/>
        </w:rPr>
      </w:pPr>
    </w:p>
    <w:p w:rsidR="0002465C" w:rsidRDefault="0002465C" w:rsidP="00022CA5"/>
    <w:p w:rsidR="00022CA5" w:rsidRDefault="00022CA5" w:rsidP="00022CA5">
      <w:r w:rsidRPr="002D197A">
        <w:rPr>
          <w:noProof/>
          <w:lang w:val="fr-FR"/>
        </w:rPr>
        <w:pict>
          <v:shapetype id="_x0000_t202" coordsize="21600,21600" o:spt="202" path="m,l,21600r21600,l21600,xe">
            <v:stroke joinstyle="miter"/>
            <v:path gradientshapeok="t" o:connecttype="rect"/>
          </v:shapetype>
          <v:shape id="_x0000_s1026" type="#_x0000_t202" style="position:absolute;margin-left:83.1pt;margin-top:.4pt;width:439.2pt;height:270.95pt;z-index:251660288;mso-width-relative:margin;mso-height-relative:margin">
            <v:stroke dashstyle="1 1" endcap="round"/>
            <v:textbox>
              <w:txbxContent>
                <w:p w:rsidR="00022CA5" w:rsidRPr="00022CA5" w:rsidRDefault="00022CA5" w:rsidP="002A15C3">
                  <w:pPr>
                    <w:autoSpaceDE w:val="0"/>
                    <w:autoSpaceDN w:val="0"/>
                    <w:adjustRightInd w:val="0"/>
                    <w:spacing w:after="0" w:line="240" w:lineRule="auto"/>
                    <w:ind w:right="111"/>
                    <w:jc w:val="right"/>
                    <w:rPr>
                      <w:rFonts w:ascii="HelveticaNeue-Bold" w:hAnsi="HelveticaNeue-Bold" w:cs="HelveticaNeue-Bold"/>
                      <w:b/>
                      <w:bCs/>
                      <w:sz w:val="19"/>
                      <w:szCs w:val="19"/>
                    </w:rPr>
                  </w:pPr>
                  <w:r w:rsidRPr="00022CA5">
                    <w:rPr>
                      <w:rFonts w:ascii="HelveticaNeue-Bold" w:hAnsi="HelveticaNeue-Bold" w:cs="HelveticaNeue-Bold"/>
                      <w:b/>
                      <w:bCs/>
                      <w:sz w:val="19"/>
                      <w:szCs w:val="19"/>
                    </w:rPr>
                    <w:t>Commission d’examen sur la fiscalité québécoise</w:t>
                  </w:r>
                </w:p>
                <w:p w:rsidR="00022CA5" w:rsidRPr="00022CA5" w:rsidRDefault="00022CA5" w:rsidP="002A15C3">
                  <w:pPr>
                    <w:autoSpaceDE w:val="0"/>
                    <w:autoSpaceDN w:val="0"/>
                    <w:adjustRightInd w:val="0"/>
                    <w:spacing w:after="0" w:line="240" w:lineRule="auto"/>
                    <w:ind w:right="111"/>
                    <w:jc w:val="right"/>
                    <w:rPr>
                      <w:rFonts w:ascii="HelveticaNeue" w:hAnsi="HelveticaNeue" w:cs="HelveticaNeue"/>
                      <w:sz w:val="19"/>
                      <w:szCs w:val="19"/>
                    </w:rPr>
                  </w:pPr>
                  <w:r w:rsidRPr="00022CA5">
                    <w:rPr>
                      <w:rFonts w:ascii="HelveticaNeue" w:hAnsi="HelveticaNeue" w:cs="HelveticaNeue"/>
                      <w:sz w:val="19"/>
                      <w:szCs w:val="19"/>
                    </w:rPr>
                    <w:t>12, rue Saint-Louis, bureau 1.37</w:t>
                  </w:r>
                </w:p>
                <w:p w:rsidR="00022CA5" w:rsidRPr="00022CA5" w:rsidRDefault="00022CA5" w:rsidP="002A15C3">
                  <w:pPr>
                    <w:autoSpaceDE w:val="0"/>
                    <w:autoSpaceDN w:val="0"/>
                    <w:adjustRightInd w:val="0"/>
                    <w:spacing w:after="0" w:line="240" w:lineRule="auto"/>
                    <w:ind w:right="111"/>
                    <w:jc w:val="right"/>
                    <w:rPr>
                      <w:rFonts w:ascii="HelveticaNeue" w:hAnsi="HelveticaNeue" w:cs="HelveticaNeue"/>
                      <w:sz w:val="19"/>
                      <w:szCs w:val="19"/>
                    </w:rPr>
                  </w:pPr>
                  <w:r w:rsidRPr="00022CA5">
                    <w:rPr>
                      <w:rFonts w:ascii="HelveticaNeue" w:hAnsi="HelveticaNeue" w:cs="HelveticaNeue"/>
                      <w:sz w:val="19"/>
                      <w:szCs w:val="19"/>
                    </w:rPr>
                    <w:t>Québec (Québec) G1R 5L3</w:t>
                  </w:r>
                </w:p>
                <w:p w:rsidR="00022CA5" w:rsidRPr="00022CA5" w:rsidRDefault="00022CA5" w:rsidP="002A15C3">
                  <w:pPr>
                    <w:autoSpaceDE w:val="0"/>
                    <w:autoSpaceDN w:val="0"/>
                    <w:adjustRightInd w:val="0"/>
                    <w:spacing w:after="0" w:line="240" w:lineRule="auto"/>
                    <w:ind w:right="111"/>
                    <w:jc w:val="right"/>
                    <w:rPr>
                      <w:rFonts w:ascii="HelveticaNeue-Condensed" w:hAnsi="HelveticaNeue-Condensed" w:cs="HelveticaNeue-Condensed"/>
                      <w:sz w:val="19"/>
                      <w:szCs w:val="19"/>
                    </w:rPr>
                  </w:pPr>
                  <w:hyperlink r:id="rId6" w:history="1">
                    <w:r w:rsidRPr="00022CA5">
                      <w:rPr>
                        <w:rStyle w:val="Lienhypertexte"/>
                        <w:rFonts w:ascii="HelveticaNeue-Condensed" w:hAnsi="HelveticaNeue-Condensed" w:cs="HelveticaNeue-Condensed"/>
                        <w:sz w:val="19"/>
                        <w:szCs w:val="19"/>
                      </w:rPr>
                      <w:t>info@examenfiscalite.gouv.qc.ca</w:t>
                    </w:r>
                  </w:hyperlink>
                </w:p>
                <w:p w:rsidR="00022CA5" w:rsidRPr="00022CA5" w:rsidRDefault="00022CA5" w:rsidP="002A15C3">
                  <w:pPr>
                    <w:autoSpaceDE w:val="0"/>
                    <w:autoSpaceDN w:val="0"/>
                    <w:adjustRightInd w:val="0"/>
                    <w:spacing w:after="0" w:line="240" w:lineRule="auto"/>
                    <w:ind w:right="111"/>
                    <w:jc w:val="right"/>
                    <w:rPr>
                      <w:rFonts w:ascii="HelveticaNeue-Condensed" w:hAnsi="HelveticaNeue-Condensed" w:cs="HelveticaNeue-Condensed"/>
                      <w:sz w:val="19"/>
                      <w:szCs w:val="19"/>
                    </w:rPr>
                  </w:pPr>
                </w:p>
                <w:p w:rsidR="00022CA5" w:rsidRPr="00022CA5" w:rsidRDefault="00022CA5" w:rsidP="002A15C3">
                  <w:pPr>
                    <w:autoSpaceDE w:val="0"/>
                    <w:autoSpaceDN w:val="0"/>
                    <w:adjustRightInd w:val="0"/>
                    <w:spacing w:after="0" w:line="240" w:lineRule="auto"/>
                    <w:ind w:right="111"/>
                    <w:jc w:val="right"/>
                    <w:rPr>
                      <w:rFonts w:ascii="HelveticaNeue-Condensed" w:hAnsi="HelveticaNeue-Condensed" w:cs="HelveticaNeue-Condensed"/>
                      <w:sz w:val="19"/>
                      <w:szCs w:val="19"/>
                    </w:rPr>
                  </w:pPr>
                </w:p>
                <w:p w:rsidR="00022CA5" w:rsidRPr="00022CA5" w:rsidRDefault="00022CA5" w:rsidP="002A15C3">
                  <w:pPr>
                    <w:autoSpaceDE w:val="0"/>
                    <w:autoSpaceDN w:val="0"/>
                    <w:adjustRightInd w:val="0"/>
                    <w:spacing w:after="0" w:line="240" w:lineRule="auto"/>
                    <w:ind w:left="284" w:right="111"/>
                    <w:rPr>
                      <w:rFonts w:ascii="HelveticaNeue" w:hAnsi="HelveticaNeue" w:cs="HelveticaNeue"/>
                      <w:sz w:val="19"/>
                      <w:szCs w:val="19"/>
                    </w:rPr>
                  </w:pPr>
                  <w:r w:rsidRPr="00022CA5">
                    <w:rPr>
                      <w:rFonts w:ascii="HelveticaNeue" w:hAnsi="HelveticaNeue" w:cs="HelveticaNeue"/>
                      <w:sz w:val="19"/>
                      <w:szCs w:val="19"/>
                    </w:rPr>
                    <w:t>Mesdames et Messieurs les commissaires,</w:t>
                  </w:r>
                </w:p>
                <w:p w:rsidR="00022CA5" w:rsidRPr="00022CA5" w:rsidRDefault="00022CA5" w:rsidP="002A15C3">
                  <w:pPr>
                    <w:autoSpaceDE w:val="0"/>
                    <w:autoSpaceDN w:val="0"/>
                    <w:adjustRightInd w:val="0"/>
                    <w:spacing w:after="0" w:line="240" w:lineRule="auto"/>
                    <w:ind w:left="284" w:right="111"/>
                    <w:rPr>
                      <w:rFonts w:ascii="HelveticaNeue" w:hAnsi="HelveticaNeue" w:cs="HelveticaNeue"/>
                      <w:sz w:val="19"/>
                      <w:szCs w:val="19"/>
                    </w:rPr>
                  </w:pPr>
                </w:p>
                <w:p w:rsidR="00022CA5" w:rsidRP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r w:rsidRPr="00022CA5">
                    <w:rPr>
                      <w:rFonts w:ascii="HelveticaNeue" w:hAnsi="HelveticaNeue" w:cs="HelveticaNeue"/>
                      <w:sz w:val="19"/>
                      <w:szCs w:val="19"/>
                    </w:rPr>
                    <w:t>En juin dernier, le gouvernement du Québec a décidé de mettre sur pied la Commission</w:t>
                  </w:r>
                </w:p>
                <w:p w:rsidR="00022CA5" w:rsidRP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proofErr w:type="gramStart"/>
                  <w:r w:rsidRPr="00022CA5">
                    <w:rPr>
                      <w:rFonts w:ascii="HelveticaNeue" w:hAnsi="HelveticaNeue" w:cs="HelveticaNeue"/>
                      <w:sz w:val="19"/>
                      <w:szCs w:val="19"/>
                    </w:rPr>
                    <w:t>d’examen</w:t>
                  </w:r>
                  <w:proofErr w:type="gramEnd"/>
                  <w:r w:rsidRPr="00022CA5">
                    <w:rPr>
                      <w:rFonts w:ascii="HelveticaNeue" w:hAnsi="HelveticaNeue" w:cs="HelveticaNeue"/>
                      <w:sz w:val="19"/>
                      <w:szCs w:val="19"/>
                    </w:rPr>
                    <w:t xml:space="preserve"> sur la fiscalité québécoise. Parmi tous les thèmes envisagés par cette commission,</w:t>
                  </w:r>
                </w:p>
                <w:p w:rsidR="00022CA5" w:rsidRP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proofErr w:type="gramStart"/>
                  <w:r w:rsidRPr="00022CA5">
                    <w:rPr>
                      <w:rFonts w:ascii="HelveticaNeue" w:hAnsi="HelveticaNeue" w:cs="HelveticaNeue"/>
                      <w:sz w:val="19"/>
                      <w:szCs w:val="19"/>
                    </w:rPr>
                    <w:t>celui</w:t>
                  </w:r>
                  <w:proofErr w:type="gramEnd"/>
                  <w:r w:rsidRPr="00022CA5">
                    <w:rPr>
                      <w:rFonts w:ascii="HelveticaNeue" w:hAnsi="HelveticaNeue" w:cs="HelveticaNeue"/>
                      <w:sz w:val="19"/>
                      <w:szCs w:val="19"/>
                    </w:rPr>
                    <w:t xml:space="preserve"> de la redistribution de la richesse en est un d’une grande importance eu égards au</w:t>
                  </w:r>
                </w:p>
                <w:p w:rsidR="00022CA5" w:rsidRP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proofErr w:type="gramStart"/>
                  <w:r w:rsidRPr="00022CA5">
                    <w:rPr>
                      <w:rFonts w:ascii="HelveticaNeue" w:hAnsi="HelveticaNeue" w:cs="HelveticaNeue"/>
                      <w:sz w:val="19"/>
                      <w:szCs w:val="19"/>
                    </w:rPr>
                    <w:t>droit</w:t>
                  </w:r>
                  <w:proofErr w:type="gramEnd"/>
                  <w:r w:rsidRPr="00022CA5">
                    <w:rPr>
                      <w:rFonts w:ascii="HelveticaNeue" w:hAnsi="HelveticaNeue" w:cs="HelveticaNeue"/>
                      <w:sz w:val="19"/>
                      <w:szCs w:val="19"/>
                    </w:rPr>
                    <w:t xml:space="preserve"> de toutes et de tous à la sécurité sociale, à une rémunération équitable et à un niveau</w:t>
                  </w:r>
                </w:p>
                <w:p w:rsid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proofErr w:type="gramStart"/>
                  <w:r w:rsidRPr="00022CA5">
                    <w:rPr>
                      <w:rFonts w:ascii="HelveticaNeue" w:hAnsi="HelveticaNeue" w:cs="HelveticaNeue"/>
                      <w:sz w:val="19"/>
                      <w:szCs w:val="19"/>
                    </w:rPr>
                    <w:t>de</w:t>
                  </w:r>
                  <w:proofErr w:type="gramEnd"/>
                  <w:r w:rsidRPr="00022CA5">
                    <w:rPr>
                      <w:rFonts w:ascii="HelveticaNeue" w:hAnsi="HelveticaNeue" w:cs="HelveticaNeue"/>
                      <w:sz w:val="19"/>
                      <w:szCs w:val="19"/>
                    </w:rPr>
                    <w:t xml:space="preserve"> vie suffisant (articles 22, 23 et 25 de la Déclaration universelle des droits humains).</w:t>
                  </w:r>
                </w:p>
                <w:p w:rsidR="00022CA5" w:rsidRP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p>
                <w:p w:rsidR="00022CA5" w:rsidRP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r w:rsidRPr="00022CA5">
                    <w:rPr>
                      <w:rFonts w:ascii="HelveticaNeue" w:hAnsi="HelveticaNeue" w:cs="HelveticaNeue"/>
                      <w:sz w:val="19"/>
                      <w:szCs w:val="19"/>
                    </w:rPr>
                    <w:t>À l’instar du Collectif pour un Québec sans pauvreté, nous vous prions, Mesdames et</w:t>
                  </w:r>
                </w:p>
                <w:p w:rsidR="00022CA5" w:rsidRP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r w:rsidRPr="00022CA5">
                    <w:rPr>
                      <w:rFonts w:ascii="HelveticaNeue" w:hAnsi="HelveticaNeue" w:cs="HelveticaNeue"/>
                      <w:sz w:val="19"/>
                      <w:szCs w:val="19"/>
                    </w:rPr>
                    <w:t>Messieurs les commissaires, de porter une attention particulière aux recommandations</w:t>
                  </w:r>
                </w:p>
                <w:p w:rsid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proofErr w:type="gramStart"/>
                  <w:r w:rsidRPr="00022CA5">
                    <w:rPr>
                      <w:rFonts w:ascii="HelveticaNeue" w:hAnsi="HelveticaNeue" w:cs="HelveticaNeue"/>
                      <w:sz w:val="19"/>
                      <w:szCs w:val="19"/>
                    </w:rPr>
                    <w:t>qui</w:t>
                  </w:r>
                  <w:proofErr w:type="gramEnd"/>
                  <w:r w:rsidRPr="00022CA5">
                    <w:rPr>
                      <w:rFonts w:ascii="HelveticaNeue" w:hAnsi="HelveticaNeue" w:cs="HelveticaNeue"/>
                      <w:sz w:val="19"/>
                      <w:szCs w:val="19"/>
                    </w:rPr>
                    <w:t xml:space="preserve"> suivent.</w:t>
                  </w:r>
                </w:p>
                <w:p w:rsidR="00022CA5" w:rsidRP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p>
                <w:p w:rsid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r w:rsidRPr="00022CA5">
                    <w:rPr>
                      <w:rFonts w:ascii="HelveticaNeue" w:hAnsi="HelveticaNeue" w:cs="HelveticaNeue"/>
                      <w:sz w:val="19"/>
                      <w:szCs w:val="19"/>
                    </w:rPr>
                    <w:t>Salutations distinguées,</w:t>
                  </w:r>
                </w:p>
                <w:p w:rsidR="00022CA5" w:rsidRPr="00022CA5" w:rsidRDefault="00022CA5" w:rsidP="002A15C3">
                  <w:pPr>
                    <w:autoSpaceDE w:val="0"/>
                    <w:autoSpaceDN w:val="0"/>
                    <w:adjustRightInd w:val="0"/>
                    <w:spacing w:after="0" w:line="240" w:lineRule="auto"/>
                    <w:ind w:left="284" w:right="111"/>
                    <w:jc w:val="both"/>
                    <w:rPr>
                      <w:rFonts w:ascii="HelveticaNeue" w:hAnsi="HelveticaNeue" w:cs="HelveticaNeue"/>
                      <w:sz w:val="19"/>
                      <w:szCs w:val="19"/>
                    </w:rPr>
                  </w:pPr>
                </w:p>
                <w:p w:rsidR="00022CA5" w:rsidRPr="00022CA5" w:rsidRDefault="00022CA5" w:rsidP="002A15C3">
                  <w:pPr>
                    <w:ind w:left="3824" w:right="111" w:firstLine="424"/>
                    <w:jc w:val="both"/>
                    <w:rPr>
                      <w:sz w:val="19"/>
                      <w:szCs w:val="19"/>
                    </w:rPr>
                  </w:pPr>
                  <w:r w:rsidRPr="00022CA5">
                    <w:rPr>
                      <w:rFonts w:ascii="HelveticaNeue" w:hAnsi="HelveticaNeue" w:cs="HelveticaNeue"/>
                      <w:sz w:val="19"/>
                      <w:szCs w:val="19"/>
                    </w:rPr>
                    <w:t>Signature</w:t>
                  </w:r>
                  <w:r>
                    <w:rPr>
                      <w:rFonts w:ascii="HelveticaNeue" w:hAnsi="HelveticaNeue" w:cs="HelveticaNeue"/>
                      <w:sz w:val="19"/>
                      <w:szCs w:val="19"/>
                    </w:rPr>
                    <w:t xml:space="preserve"> _____________________________</w:t>
                  </w:r>
                </w:p>
                <w:p w:rsidR="00022CA5" w:rsidRPr="00022CA5" w:rsidRDefault="00022CA5" w:rsidP="00022CA5"/>
              </w:txbxContent>
            </v:textbox>
          </v:shape>
        </w:pict>
      </w:r>
    </w:p>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2CA5" w:rsidRPr="007C04C6" w:rsidRDefault="00700950" w:rsidP="00700950">
      <w:pPr>
        <w:shd w:val="clear" w:color="auto" w:fill="00B050"/>
        <w:autoSpaceDE w:val="0"/>
        <w:autoSpaceDN w:val="0"/>
        <w:adjustRightInd w:val="0"/>
        <w:spacing w:after="0" w:line="240" w:lineRule="auto"/>
        <w:rPr>
          <w:rFonts w:ascii="HelveticaNeue" w:hAnsi="HelveticaNeue" w:cs="HelveticaNeue"/>
          <w:b/>
          <w:color w:val="FFFFFF" w:themeColor="background1"/>
          <w:sz w:val="24"/>
          <w:szCs w:val="24"/>
        </w:rPr>
      </w:pPr>
      <w:r w:rsidRPr="007C04C6">
        <w:rPr>
          <w:rFonts w:ascii="HelveticaNeue-Bold" w:hAnsi="HelveticaNeue-Bold" w:cs="HelveticaNeue-Bold"/>
          <w:b/>
          <w:bCs/>
          <w:color w:val="FFFFFF" w:themeColor="background1"/>
          <w:sz w:val="24"/>
          <w:szCs w:val="24"/>
        </w:rPr>
        <w:t xml:space="preserve">1 </w:t>
      </w:r>
      <w:r w:rsidRPr="007C04C6">
        <w:rPr>
          <w:rFonts w:ascii="HelveticaNeue-Bold" w:hAnsi="HelveticaNeue-Bold" w:cs="HelveticaNeue-Bold"/>
          <w:b/>
          <w:bCs/>
          <w:color w:val="FFFFFF" w:themeColor="background1"/>
          <w:sz w:val="24"/>
          <w:szCs w:val="24"/>
        </w:rPr>
        <w:tab/>
        <w:t xml:space="preserve"> Sur le fond : </w:t>
      </w:r>
      <w:r w:rsidRPr="007C04C6">
        <w:rPr>
          <w:rFonts w:ascii="HelveticaNeue" w:hAnsi="HelveticaNeue" w:cs="HelveticaNeue"/>
          <w:color w:val="FFFFFF" w:themeColor="background1"/>
          <w:sz w:val="24"/>
          <w:szCs w:val="24"/>
        </w:rPr>
        <w:t>protéger et améliorer le revenu des plus pauvres</w:t>
      </w:r>
    </w:p>
    <w:p w:rsidR="00700950" w:rsidRDefault="00700950" w:rsidP="00700950">
      <w:pPr>
        <w:autoSpaceDE w:val="0"/>
        <w:autoSpaceDN w:val="0"/>
        <w:adjustRightInd w:val="0"/>
        <w:spacing w:after="0" w:line="240" w:lineRule="auto"/>
      </w:pPr>
    </w:p>
    <w:p w:rsidR="00700950" w:rsidRDefault="00700950" w:rsidP="00700950">
      <w:pPr>
        <w:pStyle w:val="Paragraphedeliste"/>
        <w:numPr>
          <w:ilvl w:val="0"/>
          <w:numId w:val="2"/>
        </w:numPr>
        <w:autoSpaceDE w:val="0"/>
        <w:autoSpaceDN w:val="0"/>
        <w:adjustRightInd w:val="0"/>
        <w:spacing w:line="240" w:lineRule="auto"/>
        <w:rPr>
          <w:rFonts w:ascii="HelveticaNeue" w:hAnsi="HelveticaNeue" w:cs="HelveticaNeue"/>
          <w:sz w:val="20"/>
          <w:szCs w:val="20"/>
        </w:rPr>
      </w:pPr>
      <w:r w:rsidRPr="00700950">
        <w:rPr>
          <w:rFonts w:ascii="HelveticaNeue" w:hAnsi="HelveticaNeue" w:cs="HelveticaNeue"/>
          <w:sz w:val="20"/>
          <w:szCs w:val="20"/>
        </w:rPr>
        <w:t>Que l’examen actuel de la fiscalité tienne compte de l’impact combiné d’un éventuel remaniement des mesures fiscales, des programmes sociaux et des services publics sur les conditions de vie des personnes en situation de pauvreté ;</w:t>
      </w:r>
    </w:p>
    <w:p w:rsidR="00436AE5" w:rsidRDefault="00436AE5" w:rsidP="00436AE5">
      <w:pPr>
        <w:pStyle w:val="Paragraphedeliste"/>
        <w:autoSpaceDE w:val="0"/>
        <w:autoSpaceDN w:val="0"/>
        <w:adjustRightInd w:val="0"/>
        <w:spacing w:line="240" w:lineRule="auto"/>
        <w:rPr>
          <w:rFonts w:ascii="HelveticaNeue" w:hAnsi="HelveticaNeue" w:cs="HelveticaNeue"/>
          <w:sz w:val="20"/>
          <w:szCs w:val="20"/>
        </w:rPr>
      </w:pPr>
    </w:p>
    <w:p w:rsidR="00700950" w:rsidRDefault="00700950" w:rsidP="00700950">
      <w:pPr>
        <w:pStyle w:val="Paragraphedeliste"/>
        <w:numPr>
          <w:ilvl w:val="0"/>
          <w:numId w:val="2"/>
        </w:numPr>
        <w:autoSpaceDE w:val="0"/>
        <w:autoSpaceDN w:val="0"/>
        <w:adjustRightInd w:val="0"/>
        <w:spacing w:line="240" w:lineRule="auto"/>
        <w:rPr>
          <w:rFonts w:ascii="HelveticaNeue" w:hAnsi="HelveticaNeue" w:cs="HelveticaNeue"/>
          <w:sz w:val="20"/>
          <w:szCs w:val="20"/>
        </w:rPr>
      </w:pPr>
      <w:r w:rsidRPr="00700950">
        <w:rPr>
          <w:rFonts w:ascii="HelveticaNeue" w:hAnsi="HelveticaNeue" w:cs="HelveticaNeue"/>
          <w:sz w:val="20"/>
          <w:szCs w:val="20"/>
        </w:rPr>
        <w:t>Que les transferts gouvernementaux existants, qu’ils soient fiscaux (comme le Soutien aux enfants) ou sociaux (comme l’aide sociale), soient bonifiés afin d’améliorer les revenus des plus pauvres jusqu’à l’atteinte du seuil correspondant à la Mesure du panier de consommation ;</w:t>
      </w:r>
    </w:p>
    <w:p w:rsidR="00436AE5" w:rsidRDefault="00436AE5" w:rsidP="00436AE5">
      <w:pPr>
        <w:pStyle w:val="Paragraphedeliste"/>
        <w:autoSpaceDE w:val="0"/>
        <w:autoSpaceDN w:val="0"/>
        <w:adjustRightInd w:val="0"/>
        <w:spacing w:line="240" w:lineRule="auto"/>
        <w:rPr>
          <w:rFonts w:ascii="HelveticaNeue" w:hAnsi="HelveticaNeue" w:cs="HelveticaNeue"/>
          <w:sz w:val="20"/>
          <w:szCs w:val="20"/>
        </w:rPr>
      </w:pPr>
    </w:p>
    <w:p w:rsidR="00700950" w:rsidRDefault="00700950" w:rsidP="00700950">
      <w:pPr>
        <w:pStyle w:val="Paragraphedeliste"/>
        <w:numPr>
          <w:ilvl w:val="0"/>
          <w:numId w:val="2"/>
        </w:numPr>
        <w:autoSpaceDE w:val="0"/>
        <w:autoSpaceDN w:val="0"/>
        <w:adjustRightInd w:val="0"/>
        <w:spacing w:after="0" w:line="240" w:lineRule="auto"/>
        <w:rPr>
          <w:rFonts w:ascii="HelveticaNeue" w:hAnsi="HelveticaNeue" w:cs="HelveticaNeue"/>
          <w:sz w:val="20"/>
          <w:szCs w:val="20"/>
        </w:rPr>
      </w:pPr>
      <w:r w:rsidRPr="00700950">
        <w:rPr>
          <w:rFonts w:ascii="HelveticaNeue" w:hAnsi="HelveticaNeue" w:cs="HelveticaNeue"/>
          <w:sz w:val="20"/>
          <w:szCs w:val="20"/>
        </w:rPr>
        <w:t xml:space="preserve">Que le gouvernement du Québec privilégie une meilleure progressivité du régime d’imposition et qu’il abolisse les mesures régressives (comme les deux hausses successives de la Taxe de vente du Québec). Sinon, que soient mis en </w:t>
      </w:r>
      <w:proofErr w:type="spellStart"/>
      <w:r w:rsidRPr="00700950">
        <w:rPr>
          <w:rFonts w:ascii="HelveticaNeue" w:hAnsi="HelveticaNeue" w:cs="HelveticaNeue"/>
          <w:sz w:val="20"/>
          <w:szCs w:val="20"/>
        </w:rPr>
        <w:t>oeuvre</w:t>
      </w:r>
      <w:proofErr w:type="spellEnd"/>
      <w:r w:rsidRPr="00700950">
        <w:rPr>
          <w:rFonts w:ascii="HelveticaNeue" w:hAnsi="HelveticaNeue" w:cs="HelveticaNeue"/>
          <w:sz w:val="20"/>
          <w:szCs w:val="20"/>
        </w:rPr>
        <w:t xml:space="preserve"> des processus qui permettraient, à terme, d’annuler complètement les impacts de ces mesures régressives sur les personnes en situation de pauvreté ;</w:t>
      </w:r>
    </w:p>
    <w:p w:rsidR="00436AE5" w:rsidRDefault="00436AE5" w:rsidP="00436AE5">
      <w:pPr>
        <w:pStyle w:val="Paragraphedeliste"/>
        <w:autoSpaceDE w:val="0"/>
        <w:autoSpaceDN w:val="0"/>
        <w:adjustRightInd w:val="0"/>
        <w:spacing w:after="0" w:line="240" w:lineRule="auto"/>
        <w:rPr>
          <w:rFonts w:ascii="HelveticaNeue" w:hAnsi="HelveticaNeue" w:cs="HelveticaNeue"/>
          <w:sz w:val="20"/>
          <w:szCs w:val="20"/>
        </w:rPr>
      </w:pPr>
    </w:p>
    <w:p w:rsidR="00700950" w:rsidRPr="00700950" w:rsidRDefault="00700950" w:rsidP="00700950">
      <w:pPr>
        <w:pStyle w:val="Paragraphedeliste"/>
        <w:numPr>
          <w:ilvl w:val="0"/>
          <w:numId w:val="2"/>
        </w:numPr>
        <w:autoSpaceDE w:val="0"/>
        <w:autoSpaceDN w:val="0"/>
        <w:adjustRightInd w:val="0"/>
        <w:spacing w:after="0" w:line="240" w:lineRule="auto"/>
        <w:rPr>
          <w:rFonts w:ascii="HelveticaNeue" w:hAnsi="HelveticaNeue" w:cs="HelveticaNeue"/>
          <w:sz w:val="20"/>
          <w:szCs w:val="20"/>
        </w:rPr>
      </w:pPr>
      <w:r w:rsidRPr="00700950">
        <w:rPr>
          <w:rFonts w:ascii="HelveticaNeue" w:hAnsi="HelveticaNeue" w:cs="HelveticaNeue"/>
          <w:sz w:val="20"/>
          <w:szCs w:val="20"/>
        </w:rPr>
        <w:t xml:space="preserve">Que le financement des programmes sociaux et des services publics repose sur une participation accrue des plus </w:t>
      </w:r>
      <w:proofErr w:type="spellStart"/>
      <w:r w:rsidRPr="00700950">
        <w:rPr>
          <w:rFonts w:ascii="HelveticaNeue" w:hAnsi="HelveticaNeue" w:cs="HelveticaNeue"/>
          <w:sz w:val="20"/>
          <w:szCs w:val="20"/>
        </w:rPr>
        <w:t>fortunéEs</w:t>
      </w:r>
      <w:proofErr w:type="spellEnd"/>
      <w:r w:rsidRPr="00700950">
        <w:rPr>
          <w:rFonts w:ascii="HelveticaNeue" w:hAnsi="HelveticaNeue" w:cs="HelveticaNeue"/>
          <w:sz w:val="20"/>
          <w:szCs w:val="20"/>
        </w:rPr>
        <w:t>, ce qui contribuerait par ailleurs à la réduction des inégalités socioéconomiques.</w:t>
      </w:r>
    </w:p>
    <w:p w:rsidR="00022CA5" w:rsidRDefault="00022CA5" w:rsidP="00022CA5"/>
    <w:p w:rsidR="00436AE5" w:rsidRDefault="00436AE5" w:rsidP="00022CA5">
      <w:r w:rsidRPr="00436AE5">
        <w:lastRenderedPageBreak/>
        <w:drawing>
          <wp:inline distT="0" distB="0" distL="0" distR="0">
            <wp:extent cx="6931025" cy="1272788"/>
            <wp:effectExtent l="19050" t="0" r="3175" b="0"/>
            <wp:docPr id="7" name="Image 1" descr="C:\Users\PORT-Analyse\Desktop\entê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T-Analyse\Desktop\entête.PNG"/>
                    <pic:cNvPicPr>
                      <a:picLocks noChangeAspect="1" noChangeArrowheads="1"/>
                    </pic:cNvPicPr>
                  </pic:nvPicPr>
                  <pic:blipFill>
                    <a:blip r:embed="rId5" cstate="print"/>
                    <a:srcRect/>
                    <a:stretch>
                      <a:fillRect/>
                    </a:stretch>
                  </pic:blipFill>
                  <pic:spPr bwMode="auto">
                    <a:xfrm>
                      <a:off x="0" y="0"/>
                      <a:ext cx="6931025" cy="1272788"/>
                    </a:xfrm>
                    <a:prstGeom prst="rect">
                      <a:avLst/>
                    </a:prstGeom>
                    <a:noFill/>
                    <a:ln w="9525">
                      <a:noFill/>
                      <a:miter lim="800000"/>
                      <a:headEnd/>
                      <a:tailEnd/>
                    </a:ln>
                  </pic:spPr>
                </pic:pic>
              </a:graphicData>
            </a:graphic>
          </wp:inline>
        </w:drawing>
      </w:r>
    </w:p>
    <w:p w:rsidR="004077F8" w:rsidRPr="004077F8" w:rsidRDefault="004077F8" w:rsidP="004077F8">
      <w:pPr>
        <w:rPr>
          <w:rFonts w:ascii="HelveticaNeue-Bold" w:hAnsi="HelveticaNeue-Bold" w:cs="HelveticaNeue-Bold"/>
          <w:b/>
          <w:bCs/>
          <w:color w:val="000000"/>
          <w:sz w:val="16"/>
          <w:szCs w:val="16"/>
        </w:rPr>
      </w:pPr>
    </w:p>
    <w:p w:rsidR="00436AE5" w:rsidRPr="007C04C6" w:rsidRDefault="00436AE5" w:rsidP="00436AE5">
      <w:pPr>
        <w:shd w:val="clear" w:color="auto" w:fill="00B050"/>
        <w:rPr>
          <w:color w:val="FFFFFF" w:themeColor="background1"/>
        </w:rPr>
      </w:pPr>
      <w:r w:rsidRPr="007C04C6">
        <w:rPr>
          <w:rFonts w:ascii="HelveticaNeue-Bold" w:hAnsi="HelveticaNeue-Bold" w:cs="HelveticaNeue-Bold"/>
          <w:b/>
          <w:bCs/>
          <w:color w:val="FFFFFF" w:themeColor="background1"/>
          <w:sz w:val="24"/>
          <w:szCs w:val="24"/>
        </w:rPr>
        <w:t xml:space="preserve">2 </w:t>
      </w:r>
      <w:r w:rsidRPr="007C04C6">
        <w:rPr>
          <w:rFonts w:ascii="HelveticaNeue-Bold" w:hAnsi="HelveticaNeue-Bold" w:cs="HelveticaNeue-Bold"/>
          <w:b/>
          <w:bCs/>
          <w:color w:val="FFFFFF" w:themeColor="background1"/>
          <w:sz w:val="24"/>
          <w:szCs w:val="24"/>
        </w:rPr>
        <w:tab/>
        <w:t xml:space="preserve">Sur la forme : </w:t>
      </w:r>
      <w:r w:rsidRPr="007C04C6">
        <w:rPr>
          <w:rFonts w:ascii="HelveticaNeue" w:hAnsi="HelveticaNeue" w:cs="HelveticaNeue"/>
          <w:color w:val="FFFFFF" w:themeColor="background1"/>
          <w:sz w:val="24"/>
          <w:szCs w:val="24"/>
        </w:rPr>
        <w:t>asseoir le processus sur une base plus solide</w:t>
      </w:r>
    </w:p>
    <w:p w:rsidR="00436AE5" w:rsidRDefault="00436AE5" w:rsidP="00436AE5">
      <w:pPr>
        <w:pStyle w:val="Paragraphedeliste"/>
        <w:numPr>
          <w:ilvl w:val="0"/>
          <w:numId w:val="3"/>
        </w:numPr>
        <w:autoSpaceDE w:val="0"/>
        <w:autoSpaceDN w:val="0"/>
        <w:adjustRightInd w:val="0"/>
        <w:spacing w:after="0" w:line="240" w:lineRule="auto"/>
        <w:rPr>
          <w:rFonts w:ascii="HelveticaNeue" w:hAnsi="HelveticaNeue" w:cs="HelveticaNeue"/>
          <w:sz w:val="20"/>
          <w:szCs w:val="20"/>
        </w:rPr>
      </w:pPr>
      <w:r w:rsidRPr="00436AE5">
        <w:rPr>
          <w:rFonts w:ascii="HelveticaNeue" w:hAnsi="HelveticaNeue" w:cs="HelveticaNeue"/>
          <w:sz w:val="20"/>
          <w:szCs w:val="20"/>
        </w:rPr>
        <w:t>Que le calendrier de la Commission soit revu afin de permettre un débat plus large et plus approfondi, ce</w:t>
      </w:r>
    </w:p>
    <w:p w:rsidR="00436AE5" w:rsidRDefault="00436AE5" w:rsidP="00436AE5">
      <w:pPr>
        <w:pStyle w:val="Paragraphedeliste"/>
        <w:autoSpaceDE w:val="0"/>
        <w:autoSpaceDN w:val="0"/>
        <w:adjustRightInd w:val="0"/>
        <w:spacing w:after="0" w:line="240" w:lineRule="auto"/>
        <w:rPr>
          <w:rFonts w:ascii="HelveticaNeue" w:hAnsi="HelveticaNeue" w:cs="HelveticaNeue"/>
          <w:sz w:val="20"/>
          <w:szCs w:val="20"/>
        </w:rPr>
      </w:pPr>
      <w:proofErr w:type="gramStart"/>
      <w:r w:rsidRPr="00436AE5">
        <w:rPr>
          <w:rFonts w:ascii="HelveticaNeue" w:hAnsi="HelveticaNeue" w:cs="HelveticaNeue"/>
          <w:sz w:val="20"/>
          <w:szCs w:val="20"/>
        </w:rPr>
        <w:t>qui</w:t>
      </w:r>
      <w:proofErr w:type="gramEnd"/>
      <w:r w:rsidRPr="00436AE5">
        <w:rPr>
          <w:rFonts w:ascii="HelveticaNeue" w:hAnsi="HelveticaNeue" w:cs="HelveticaNeue"/>
          <w:sz w:val="20"/>
          <w:szCs w:val="20"/>
        </w:rPr>
        <w:t xml:space="preserve"> demande nécessairement plus de temps ;</w:t>
      </w:r>
    </w:p>
    <w:p w:rsidR="00436AE5" w:rsidRDefault="00436AE5" w:rsidP="00436AE5">
      <w:pPr>
        <w:pStyle w:val="Paragraphedeliste"/>
        <w:autoSpaceDE w:val="0"/>
        <w:autoSpaceDN w:val="0"/>
        <w:adjustRightInd w:val="0"/>
        <w:spacing w:after="0" w:line="240" w:lineRule="auto"/>
        <w:rPr>
          <w:rFonts w:ascii="HelveticaNeue" w:hAnsi="HelveticaNeue" w:cs="HelveticaNeue"/>
          <w:sz w:val="20"/>
          <w:szCs w:val="20"/>
        </w:rPr>
      </w:pPr>
    </w:p>
    <w:p w:rsidR="00436AE5" w:rsidRDefault="00436AE5" w:rsidP="00436AE5">
      <w:pPr>
        <w:pStyle w:val="Paragraphedeliste"/>
        <w:numPr>
          <w:ilvl w:val="0"/>
          <w:numId w:val="3"/>
        </w:num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Que la composition de la Commission soit revue afin de diversifier les expertises et les points de vue (</w:t>
      </w:r>
      <w:proofErr w:type="spellStart"/>
      <w:r>
        <w:rPr>
          <w:rFonts w:ascii="HelveticaNeue" w:hAnsi="HelveticaNeue" w:cs="HelveticaNeue"/>
          <w:sz w:val="20"/>
          <w:szCs w:val="20"/>
        </w:rPr>
        <w:t>éluEs</w:t>
      </w:r>
      <w:proofErr w:type="spellEnd"/>
      <w:r>
        <w:rPr>
          <w:rFonts w:ascii="HelveticaNeue" w:hAnsi="HelveticaNeue" w:cs="HelveticaNeue"/>
          <w:sz w:val="20"/>
          <w:szCs w:val="20"/>
        </w:rPr>
        <w:t>,</w:t>
      </w:r>
    </w:p>
    <w:p w:rsidR="00436AE5" w:rsidRDefault="00436AE5" w:rsidP="00436AE5">
      <w:pPr>
        <w:pStyle w:val="Paragraphedeliste"/>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personnes</w:t>
      </w:r>
      <w:proofErr w:type="gramEnd"/>
      <w:r>
        <w:rPr>
          <w:rFonts w:ascii="HelveticaNeue" w:hAnsi="HelveticaNeue" w:cs="HelveticaNeue"/>
          <w:sz w:val="20"/>
          <w:szCs w:val="20"/>
        </w:rPr>
        <w:t xml:space="preserve"> en situation de pauvreté, </w:t>
      </w:r>
      <w:proofErr w:type="spellStart"/>
      <w:r>
        <w:rPr>
          <w:rFonts w:ascii="HelveticaNeue" w:hAnsi="HelveticaNeue" w:cs="HelveticaNeue"/>
          <w:sz w:val="20"/>
          <w:szCs w:val="20"/>
        </w:rPr>
        <w:t>représentantEs</w:t>
      </w:r>
      <w:proofErr w:type="spellEnd"/>
      <w:r>
        <w:rPr>
          <w:rFonts w:ascii="HelveticaNeue" w:hAnsi="HelveticaNeue" w:cs="HelveticaNeue"/>
          <w:sz w:val="20"/>
          <w:szCs w:val="20"/>
        </w:rPr>
        <w:t xml:space="preserve"> des mouvements sociaux, etc.) ;</w:t>
      </w:r>
    </w:p>
    <w:p w:rsidR="00436AE5" w:rsidRDefault="00436AE5" w:rsidP="00436AE5">
      <w:pPr>
        <w:pStyle w:val="Paragraphedeliste"/>
        <w:autoSpaceDE w:val="0"/>
        <w:autoSpaceDN w:val="0"/>
        <w:adjustRightInd w:val="0"/>
        <w:spacing w:after="0" w:line="240" w:lineRule="auto"/>
        <w:rPr>
          <w:rFonts w:ascii="HelveticaNeue" w:hAnsi="HelveticaNeue" w:cs="HelveticaNeue"/>
          <w:sz w:val="20"/>
          <w:szCs w:val="20"/>
        </w:rPr>
      </w:pPr>
    </w:p>
    <w:p w:rsidR="00436AE5" w:rsidRPr="00436AE5" w:rsidRDefault="00436AE5" w:rsidP="00436AE5">
      <w:pPr>
        <w:pStyle w:val="Paragraphedeliste"/>
        <w:numPr>
          <w:ilvl w:val="0"/>
          <w:numId w:val="3"/>
        </w:num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 xml:space="preserve">Que l’examen de la fiscalité tienne compte d’autres scénarios que la seule réduction drastique des </w:t>
      </w:r>
      <w:r w:rsidRPr="00436AE5">
        <w:rPr>
          <w:rFonts w:ascii="HelveticaNeue" w:hAnsi="HelveticaNeue" w:cs="HelveticaNeue"/>
          <w:sz w:val="20"/>
          <w:szCs w:val="20"/>
        </w:rPr>
        <w:t>dépenses gouvernementales.</w:t>
      </w:r>
    </w:p>
    <w:p w:rsidR="00436AE5" w:rsidRDefault="00436AE5" w:rsidP="00022CA5"/>
    <w:p w:rsidR="00436AE5" w:rsidRPr="00093C96" w:rsidRDefault="00436AE5" w:rsidP="004077F8">
      <w:pPr>
        <w:shd w:val="clear" w:color="auto" w:fill="00B050"/>
        <w:rPr>
          <w:color w:val="FFFFFF" w:themeColor="background1"/>
        </w:rPr>
      </w:pPr>
      <w:r w:rsidRPr="00093C96">
        <w:rPr>
          <w:rFonts w:ascii="HelveticaNeue-Bold" w:hAnsi="HelveticaNeue-Bold" w:cs="HelveticaNeue-Bold"/>
          <w:b/>
          <w:bCs/>
          <w:color w:val="FFFFFF" w:themeColor="background1"/>
          <w:sz w:val="24"/>
          <w:szCs w:val="24"/>
          <w:shd w:val="clear" w:color="auto" w:fill="00B050"/>
        </w:rPr>
        <w:t>3</w:t>
      </w:r>
      <w:r w:rsidRPr="00093C96">
        <w:rPr>
          <w:rFonts w:ascii="HelveticaNeue-Bold" w:hAnsi="HelveticaNeue-Bold" w:cs="HelveticaNeue-Bold"/>
          <w:b/>
          <w:bCs/>
          <w:color w:val="FFFFFF" w:themeColor="background1"/>
          <w:sz w:val="24"/>
          <w:szCs w:val="24"/>
          <w:shd w:val="clear" w:color="auto" w:fill="00B050"/>
        </w:rPr>
        <w:tab/>
        <w:t xml:space="preserve">Sur les finances publiques : </w:t>
      </w:r>
      <w:r w:rsidRPr="00093C96">
        <w:rPr>
          <w:rFonts w:ascii="HelveticaNeue" w:hAnsi="HelveticaNeue" w:cs="HelveticaNeue"/>
          <w:color w:val="FFFFFF" w:themeColor="background1"/>
          <w:sz w:val="24"/>
          <w:szCs w:val="24"/>
          <w:shd w:val="clear" w:color="auto" w:fill="00B050"/>
        </w:rPr>
        <w:t>viser aussi l’amélioration des revenus de l’État</w:t>
      </w:r>
      <w:r w:rsidR="004077F8" w:rsidRPr="00093C96">
        <w:rPr>
          <w:rFonts w:ascii="HelveticaNeue" w:hAnsi="HelveticaNeue" w:cs="HelveticaNeue"/>
          <w:color w:val="FFFFFF" w:themeColor="background1"/>
          <w:sz w:val="24"/>
          <w:szCs w:val="24"/>
          <w:shd w:val="clear" w:color="auto" w:fill="00B050"/>
        </w:rPr>
        <w:t xml:space="preserve">                              </w:t>
      </w:r>
    </w:p>
    <w:p w:rsidR="00436AE5" w:rsidRPr="00436AE5" w:rsidRDefault="00436AE5" w:rsidP="00436AE5">
      <w:pPr>
        <w:pStyle w:val="Paragraphedeliste"/>
        <w:numPr>
          <w:ilvl w:val="0"/>
          <w:numId w:val="3"/>
        </w:numPr>
      </w:pPr>
      <w:r w:rsidRPr="00436AE5">
        <w:rPr>
          <w:rFonts w:ascii="HelveticaNeue" w:hAnsi="HelveticaNeue" w:cs="HelveticaNeue"/>
          <w:sz w:val="20"/>
          <w:szCs w:val="20"/>
        </w:rPr>
        <w:t>Que l’exploration de nouvelles sources de revenus pour l’État fasse partie des scénarios envisagés ;</w:t>
      </w:r>
    </w:p>
    <w:p w:rsidR="00436AE5" w:rsidRDefault="00436AE5" w:rsidP="00436AE5">
      <w:pPr>
        <w:pStyle w:val="Paragraphedeliste"/>
        <w:numPr>
          <w:ilvl w:val="0"/>
          <w:numId w:val="3"/>
        </w:numPr>
      </w:pPr>
      <w:r w:rsidRPr="00436AE5">
        <w:rPr>
          <w:rFonts w:ascii="HelveticaNeue" w:hAnsi="HelveticaNeue" w:cs="HelveticaNeue"/>
          <w:sz w:val="20"/>
          <w:szCs w:val="20"/>
        </w:rPr>
        <w:t xml:space="preserve">Que la Commission prenne en compte les propositions de la campagne </w:t>
      </w:r>
      <w:r w:rsidRPr="00436AE5">
        <w:rPr>
          <w:rFonts w:ascii="HelveticaNeue-Italic" w:hAnsi="HelveticaNeue-Italic" w:cs="HelveticaNeue-Italic"/>
          <w:i/>
          <w:iCs/>
          <w:sz w:val="20"/>
          <w:szCs w:val="20"/>
        </w:rPr>
        <w:t xml:space="preserve">10 milliards $ de solutions </w:t>
      </w:r>
      <w:r w:rsidRPr="00436AE5">
        <w:rPr>
          <w:rFonts w:ascii="HelveticaNeue" w:hAnsi="HelveticaNeue" w:cs="HelveticaNeue"/>
          <w:sz w:val="20"/>
          <w:szCs w:val="20"/>
        </w:rPr>
        <w:t>portée</w:t>
      </w:r>
      <w:r>
        <w:rPr>
          <w:rFonts w:ascii="HelveticaNeue" w:hAnsi="HelveticaNeue" w:cs="HelveticaNeue"/>
          <w:sz w:val="20"/>
          <w:szCs w:val="20"/>
        </w:rPr>
        <w:t xml:space="preserve"> </w:t>
      </w:r>
      <w:r w:rsidRPr="00436AE5">
        <w:rPr>
          <w:rFonts w:ascii="HelveticaNeue" w:hAnsi="HelveticaNeue" w:cs="HelveticaNeue"/>
          <w:sz w:val="20"/>
          <w:szCs w:val="20"/>
        </w:rPr>
        <w:t>par la Coalition opposée à la tarification et à la privatisation des services publics.</w:t>
      </w:r>
    </w:p>
    <w:p w:rsidR="00436AE5" w:rsidRDefault="00436AE5" w:rsidP="00022CA5"/>
    <w:p w:rsidR="00022CA5" w:rsidRDefault="0002465C" w:rsidP="00022CA5">
      <w:r w:rsidRPr="002D197A">
        <w:rPr>
          <w:noProof/>
          <w:lang w:val="fr-FR"/>
        </w:rPr>
        <w:pict>
          <v:shape id="_x0000_s1027" type="#_x0000_t202" style="position:absolute;margin-left:0;margin-top:0;width:503.8pt;height:229.25pt;z-index:251662336;mso-position-horizontal:center;mso-width-relative:margin;mso-height-relative:margin" fillcolor="#d8d8d8 [2732]">
            <v:textbox>
              <w:txbxContent>
                <w:p w:rsidR="0002465C" w:rsidRPr="0002465C" w:rsidRDefault="0002465C">
                  <w:pPr>
                    <w:rPr>
                      <w:rFonts w:ascii="HelveticaNeue" w:hAnsi="HelveticaNeue" w:cs="HelveticaNeue"/>
                      <w:sz w:val="20"/>
                      <w:szCs w:val="20"/>
                    </w:rPr>
                  </w:pPr>
                  <w:r w:rsidRPr="0002465C">
                    <w:rPr>
                      <w:rFonts w:ascii="HelveticaNeue" w:hAnsi="HelveticaNeue" w:cs="HelveticaNeue"/>
                      <w:sz w:val="20"/>
                      <w:szCs w:val="20"/>
                    </w:rPr>
                    <w:t>[Commentaires]</w:t>
                  </w:r>
                </w:p>
                <w:p w:rsidR="0002465C" w:rsidRDefault="0002465C">
                  <w:pPr>
                    <w:rPr>
                      <w:lang w:val="fr-FR"/>
                    </w:rPr>
                  </w:pPr>
                </w:p>
              </w:txbxContent>
            </v:textbox>
          </v:shape>
        </w:pict>
      </w:r>
    </w:p>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2CA5" w:rsidRDefault="00022CA5" w:rsidP="00022CA5"/>
    <w:p w:rsidR="0002465C" w:rsidRDefault="0002465C" w:rsidP="00022CA5">
      <w:r>
        <w:rPr>
          <w:noProof/>
          <w:lang w:eastAsia="fr-CA"/>
        </w:rPr>
        <w:drawing>
          <wp:inline distT="0" distB="0" distL="0" distR="0">
            <wp:extent cx="5724525" cy="815996"/>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5724525" cy="815996"/>
                    </a:xfrm>
                    <a:prstGeom prst="rect">
                      <a:avLst/>
                    </a:prstGeom>
                    <a:noFill/>
                    <a:ln w="9525">
                      <a:noFill/>
                      <a:miter lim="800000"/>
                      <a:headEnd/>
                      <a:tailEnd/>
                    </a:ln>
                  </pic:spPr>
                </pic:pic>
              </a:graphicData>
            </a:graphic>
          </wp:inline>
        </w:drawing>
      </w:r>
    </w:p>
    <w:sectPr w:rsidR="0002465C" w:rsidSect="0002465C">
      <w:pgSz w:w="12240" w:h="15840"/>
      <w:pgMar w:top="567" w:right="758"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BoldItalic">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HelveticaNeue-Condensed">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19E"/>
    <w:multiLevelType w:val="hybridMultilevel"/>
    <w:tmpl w:val="4A8AE7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07238FE"/>
    <w:multiLevelType w:val="hybridMultilevel"/>
    <w:tmpl w:val="568EF0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35A1F3C"/>
    <w:multiLevelType w:val="hybridMultilevel"/>
    <w:tmpl w:val="076C3C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2CA5"/>
    <w:rsid w:val="00022CA5"/>
    <w:rsid w:val="0002465C"/>
    <w:rsid w:val="00093C96"/>
    <w:rsid w:val="001C75DC"/>
    <w:rsid w:val="002A15C3"/>
    <w:rsid w:val="004077F8"/>
    <w:rsid w:val="00436AE5"/>
    <w:rsid w:val="00700950"/>
    <w:rsid w:val="007C04C6"/>
    <w:rsid w:val="00A0188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2C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2CA5"/>
    <w:rPr>
      <w:rFonts w:ascii="Tahoma" w:hAnsi="Tahoma" w:cs="Tahoma"/>
      <w:sz w:val="16"/>
      <w:szCs w:val="16"/>
    </w:rPr>
  </w:style>
  <w:style w:type="character" w:styleId="Lienhypertexte">
    <w:name w:val="Hyperlink"/>
    <w:basedOn w:val="Policepardfaut"/>
    <w:uiPriority w:val="99"/>
    <w:unhideWhenUsed/>
    <w:rsid w:val="00022CA5"/>
    <w:rPr>
      <w:color w:val="0000FF" w:themeColor="hyperlink"/>
      <w:u w:val="single"/>
    </w:rPr>
  </w:style>
  <w:style w:type="paragraph" w:styleId="Paragraphedeliste">
    <w:name w:val="List Paragraph"/>
    <w:basedOn w:val="Normal"/>
    <w:uiPriority w:val="34"/>
    <w:qFormat/>
    <w:rsid w:val="007009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xamenfiscalite.gouv.qc.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331</Words>
  <Characters>1824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PORT-Analyse</dc:creator>
  <cp:lastModifiedBy>PORT-Analyse</cp:lastModifiedBy>
  <cp:revision>6</cp:revision>
  <cp:lastPrinted>2014-10-23T13:51:00Z</cp:lastPrinted>
  <dcterms:created xsi:type="dcterms:W3CDTF">2014-10-23T13:47:00Z</dcterms:created>
  <dcterms:modified xsi:type="dcterms:W3CDTF">2014-10-23T13:53:00Z</dcterms:modified>
</cp:coreProperties>
</file>